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B300" w14:textId="74F09EC4" w:rsidR="00A53D00" w:rsidRPr="00C80AC4" w:rsidRDefault="000258EF" w:rsidP="00EA2A37">
      <w:pPr>
        <w:jc w:val="left"/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 xml:space="preserve">Date: </w:t>
      </w:r>
      <w:r>
        <w:rPr>
          <w:rFonts w:ascii="Arial" w:hAnsi="Arial" w:cs="Arial"/>
          <w:szCs w:val="24"/>
          <w:u w:val="single"/>
        </w:rPr>
        <w:t>June</w:t>
      </w:r>
      <w:r w:rsidR="00E33D7C">
        <w:rPr>
          <w:rFonts w:ascii="Arial" w:hAnsi="Arial" w:cs="Arial"/>
          <w:szCs w:val="24"/>
          <w:u w:val="single"/>
        </w:rPr>
        <w:t xml:space="preserve"> 7, 2023</w:t>
      </w:r>
      <w:r w:rsidR="001A34D6" w:rsidRPr="00C80AC4">
        <w:rPr>
          <w:rFonts w:ascii="Arial" w:hAnsi="Arial" w:cs="Arial"/>
          <w:szCs w:val="24"/>
        </w:rPr>
        <w:t xml:space="preserve"> </w:t>
      </w:r>
      <w:r w:rsidR="00DD2B79">
        <w:rPr>
          <w:rFonts w:ascii="Arial" w:hAnsi="Arial" w:cs="Arial"/>
          <w:szCs w:val="24"/>
        </w:rPr>
        <w:t xml:space="preserve"> </w:t>
      </w:r>
      <w:r w:rsidR="00A53D00" w:rsidRPr="00C80AC4">
        <w:rPr>
          <w:rFonts w:ascii="Arial" w:hAnsi="Arial" w:cs="Arial"/>
          <w:szCs w:val="24"/>
        </w:rPr>
        <w:t>Length of Meeting:</w:t>
      </w:r>
      <w:r w:rsidR="001A34D6"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0542364C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CC00F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1061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015B7D9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DD2B79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DD2B79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61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DD2B79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65310D6D" w14:textId="62AF2ACB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61068FA" w14:textId="0D839C83" w:rsidR="00EA2A37" w:rsidRDefault="00DD2B79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  <w:r w:rsidR="002E3A79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SB-23-11803 Dept. of Public Works – Task No. 3 On-Call Solid Waste Engineering Services with EA Engineering, Science, Technology Inc.</w:t>
            </w:r>
            <w:r w:rsidR="009B31E8">
              <w:rPr>
                <w:rFonts w:ascii="Arial" w:hAnsi="Arial" w:cs="Arial"/>
                <w:szCs w:val="24"/>
              </w:rPr>
              <w:t xml:space="preserve">  This item was mistakenly left off the agenda by the Clerk’s office.  Thank you to DPW for being present today to answer any questions regarding this item.</w:t>
            </w:r>
          </w:p>
          <w:p w14:paraId="25DCF746" w14:textId="3501185D" w:rsidR="00DD2B79" w:rsidRPr="00C80AC4" w:rsidRDefault="00DD2B79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C80AC4" w14:paraId="5199B532" w14:textId="77777777" w:rsidTr="00DD2B79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DE7A32A" w14:textId="52F02B04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A6B4DF0" w14:textId="278F97F0" w:rsidR="00EA2A37" w:rsidRPr="009B31E8" w:rsidRDefault="00DD2B79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9B31E8">
              <w:rPr>
                <w:rFonts w:ascii="Arial" w:hAnsi="Arial" w:cs="Arial"/>
                <w:b/>
                <w:szCs w:val="24"/>
              </w:rPr>
              <w:t>WALK-ON</w:t>
            </w:r>
            <w:r w:rsidR="002E3A79" w:rsidRPr="009B31E8">
              <w:rPr>
                <w:rFonts w:ascii="Arial" w:hAnsi="Arial" w:cs="Arial"/>
                <w:b/>
                <w:szCs w:val="24"/>
              </w:rPr>
              <w:t>:</w:t>
            </w:r>
            <w:r w:rsidRPr="009B31E8">
              <w:rPr>
                <w:rFonts w:ascii="Arial" w:hAnsi="Arial" w:cs="Arial"/>
                <w:b/>
                <w:szCs w:val="24"/>
              </w:rPr>
              <w:t xml:space="preserve"> </w:t>
            </w:r>
            <w:r w:rsidRPr="009B31E8">
              <w:rPr>
                <w:rFonts w:ascii="Arial" w:hAnsi="Arial" w:cs="Arial"/>
                <w:szCs w:val="24"/>
              </w:rPr>
              <w:t>SB-23-</w:t>
            </w:r>
            <w:r w:rsidR="00A7360D" w:rsidRPr="009B31E8">
              <w:rPr>
                <w:rFonts w:ascii="Arial" w:hAnsi="Arial" w:cs="Arial"/>
                <w:szCs w:val="24"/>
              </w:rPr>
              <w:t xml:space="preserve">11748 – City Council Bill </w:t>
            </w:r>
            <w:r w:rsidR="00952C7D" w:rsidRPr="009B31E8">
              <w:rPr>
                <w:rFonts w:ascii="Arial" w:hAnsi="Arial" w:cs="Arial"/>
                <w:szCs w:val="24"/>
              </w:rPr>
              <w:t>21-0178 -Tax Credits Historic Properties Definition of “Historic Property”.</w:t>
            </w:r>
            <w:r w:rsidR="009B31E8" w:rsidRPr="009B31E8">
              <w:rPr>
                <w:rFonts w:ascii="Arial" w:hAnsi="Arial" w:cs="Arial"/>
                <w:szCs w:val="24"/>
              </w:rPr>
              <w:t xml:space="preserve">  This item was deferred </w:t>
            </w:r>
            <w:r w:rsidR="002B7E46">
              <w:rPr>
                <w:rFonts w:ascii="Arial" w:hAnsi="Arial" w:cs="Arial"/>
                <w:szCs w:val="24"/>
              </w:rPr>
              <w:t xml:space="preserve">from the 5.17.23 agenda to this date and </w:t>
            </w:r>
            <w:r w:rsidR="009B31E8" w:rsidRPr="009B31E8">
              <w:rPr>
                <w:rFonts w:ascii="Arial" w:hAnsi="Arial" w:cs="Arial"/>
                <w:szCs w:val="24"/>
              </w:rPr>
              <w:t>was not automatically placed on the agenda as it should have been due to a system’s error.</w:t>
            </w:r>
            <w:r w:rsidR="002B7E46">
              <w:rPr>
                <w:rFonts w:ascii="Arial" w:hAnsi="Arial" w:cs="Arial"/>
                <w:szCs w:val="24"/>
              </w:rPr>
              <w:t xml:space="preserve"> </w:t>
            </w:r>
            <w:r w:rsidR="009B31E8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E3A79" w:rsidRPr="00C80AC4" w14:paraId="368A33D2" w14:textId="77777777" w:rsidTr="00DD2B79">
        <w:trPr>
          <w:trHeight w:val="366"/>
        </w:trPr>
        <w:tc>
          <w:tcPr>
            <w:tcW w:w="990" w:type="dxa"/>
            <w:vMerge/>
          </w:tcPr>
          <w:p w14:paraId="44192B45" w14:textId="77777777" w:rsidR="002E3A79" w:rsidRPr="00C80AC4" w:rsidRDefault="002E3A79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49DC259" w14:textId="77777777" w:rsidR="002E3A79" w:rsidRPr="00C80AC4" w:rsidRDefault="002E3A79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0335805D" w14:textId="559A909E" w:rsidR="002E3A79" w:rsidRPr="002E3A79" w:rsidRDefault="002E3A79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WALK-ON: </w:t>
            </w:r>
            <w:r w:rsidRPr="002E3A79">
              <w:rPr>
                <w:rFonts w:ascii="Arial" w:hAnsi="Arial" w:cs="Arial"/>
                <w:szCs w:val="24"/>
              </w:rPr>
              <w:t xml:space="preserve">SB-23-12166 </w:t>
            </w:r>
            <w:r>
              <w:rPr>
                <w:rFonts w:ascii="Arial" w:hAnsi="Arial" w:cs="Arial"/>
                <w:szCs w:val="24"/>
              </w:rPr>
              <w:t xml:space="preserve">– Dept. of Transportation – Minor Privilege </w:t>
            </w:r>
            <w:r w:rsidR="0048229B">
              <w:rPr>
                <w:rFonts w:ascii="Arial" w:hAnsi="Arial" w:cs="Arial"/>
                <w:szCs w:val="24"/>
              </w:rPr>
              <w:t>Schedule</w:t>
            </w:r>
            <w:r>
              <w:rPr>
                <w:rFonts w:ascii="Arial" w:hAnsi="Arial" w:cs="Arial"/>
                <w:szCs w:val="24"/>
              </w:rPr>
              <w:t xml:space="preserve"> of Charges – Curbside </w:t>
            </w:r>
            <w:r w:rsidR="0048229B">
              <w:rPr>
                <w:rFonts w:ascii="Arial" w:hAnsi="Arial" w:cs="Arial"/>
                <w:szCs w:val="24"/>
              </w:rPr>
              <w:t>Commercial Dining Schedule.</w:t>
            </w:r>
            <w:r w:rsidR="009B31E8">
              <w:rPr>
                <w:rFonts w:ascii="Arial" w:hAnsi="Arial" w:cs="Arial"/>
                <w:szCs w:val="24"/>
              </w:rPr>
              <w:t xml:space="preserve">  This item was submitted on t</w:t>
            </w:r>
            <w:r w:rsidR="006D499E">
              <w:rPr>
                <w:rFonts w:ascii="Arial" w:hAnsi="Arial" w:cs="Arial"/>
                <w:szCs w:val="24"/>
              </w:rPr>
              <w:t>ime</w:t>
            </w:r>
            <w:r w:rsidR="009B31E8">
              <w:rPr>
                <w:rFonts w:ascii="Arial" w:hAnsi="Arial" w:cs="Arial"/>
                <w:szCs w:val="24"/>
              </w:rPr>
              <w:t xml:space="preserve"> but due to substantive changes we requested that it be resubmitted in whole.  Thank you to DOT for doing so and for being here today to present on this item.</w:t>
            </w:r>
          </w:p>
        </w:tc>
      </w:tr>
      <w:tr w:rsidR="00EA2A37" w:rsidRPr="00C80AC4" w14:paraId="56E98D5E" w14:textId="77777777" w:rsidTr="00DD2B79">
        <w:trPr>
          <w:trHeight w:val="366"/>
        </w:trPr>
        <w:tc>
          <w:tcPr>
            <w:tcW w:w="990" w:type="dxa"/>
            <w:vMerge/>
          </w:tcPr>
          <w:p w14:paraId="456DFC2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10C9242C" w14:textId="5AACC611" w:rsidR="00EA2A37" w:rsidRPr="00C80AC4" w:rsidRDefault="00103084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144</w:t>
            </w:r>
          </w:p>
        </w:tc>
        <w:tc>
          <w:tcPr>
            <w:tcW w:w="10615" w:type="dxa"/>
          </w:tcPr>
          <w:p w14:paraId="0F7D59C5" w14:textId="1A58B28F" w:rsidR="00EA2A37" w:rsidRPr="00C80AC4" w:rsidRDefault="002E3A79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CORRECTION: </w:t>
            </w:r>
            <w:r w:rsidR="00B62B31">
              <w:rPr>
                <w:rFonts w:ascii="Arial" w:hAnsi="Arial" w:cs="Arial"/>
                <w:szCs w:val="24"/>
              </w:rPr>
              <w:t>SB-23-11866 – BCIT – Emergency Procurement Report on Emergency Consultant Agreement for Workday Financial System Remediation Services</w:t>
            </w:r>
            <w:r w:rsidR="00455791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In Background/Explanation after 4/17/2023 please delete Chief of Staff and insert Director of Finance.</w:t>
            </w:r>
          </w:p>
        </w:tc>
      </w:tr>
      <w:tr w:rsidR="00EA2A37" w:rsidRPr="00C80AC4" w14:paraId="7917C7FD" w14:textId="77777777" w:rsidTr="00DD2B79">
        <w:trPr>
          <w:trHeight w:val="366"/>
        </w:trPr>
        <w:tc>
          <w:tcPr>
            <w:tcW w:w="990" w:type="dxa"/>
            <w:vMerge/>
          </w:tcPr>
          <w:p w14:paraId="19677AB8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8E12ED5" w14:textId="2770472E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15" w:type="dxa"/>
          </w:tcPr>
          <w:p w14:paraId="51CE797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860"/>
        <w:gridCol w:w="1458"/>
        <w:gridCol w:w="6976"/>
        <w:gridCol w:w="3841"/>
      </w:tblGrid>
      <w:tr w:rsidR="008B1317" w:rsidRPr="00C80AC4" w14:paraId="345AAB26" w14:textId="77777777" w:rsidTr="0048229B">
        <w:trPr>
          <w:trHeight w:val="314"/>
        </w:trPr>
        <w:tc>
          <w:tcPr>
            <w:tcW w:w="86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434" w:type="dxa"/>
            <w:gridSpan w:val="2"/>
            <w:shd w:val="clear" w:color="auto" w:fill="auto"/>
          </w:tcPr>
          <w:p w14:paraId="4276F867" w14:textId="1D3F81BE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  <w:r w:rsidR="00DE334F">
              <w:rPr>
                <w:rFonts w:ascii="Arial" w:hAnsi="Arial" w:cs="Arial"/>
                <w:b/>
                <w:bCs/>
                <w:szCs w:val="24"/>
              </w:rPr>
              <w:t>/STATEMENT OF OPPOSITION</w:t>
            </w:r>
          </w:p>
        </w:tc>
        <w:tc>
          <w:tcPr>
            <w:tcW w:w="3841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48229B">
        <w:trPr>
          <w:trHeight w:val="349"/>
        </w:trPr>
        <w:tc>
          <w:tcPr>
            <w:tcW w:w="86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3841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48229B">
        <w:trPr>
          <w:trHeight w:val="349"/>
        </w:trPr>
        <w:tc>
          <w:tcPr>
            <w:tcW w:w="860" w:type="dxa"/>
            <w:vMerge/>
          </w:tcPr>
          <w:p w14:paraId="70F9ECD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0163B0A7" w14:textId="394E09EC" w:rsidR="008B1317" w:rsidRPr="00C80AC4" w:rsidRDefault="00DE334F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298</w:t>
            </w:r>
          </w:p>
        </w:tc>
        <w:tc>
          <w:tcPr>
            <w:tcW w:w="6976" w:type="dxa"/>
          </w:tcPr>
          <w:p w14:paraId="687CB35C" w14:textId="6D233838" w:rsidR="008B1317" w:rsidRPr="00C80AC4" w:rsidRDefault="00DE334F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SB-23-11546 - Dept. of Transportation – Minor Privilege Permit - Curbside Commercial Dining Schedule. </w:t>
            </w:r>
            <w:r>
              <w:rPr>
                <w:rFonts w:ascii="Arial" w:hAnsi="Arial" w:cs="Arial"/>
                <w:b/>
                <w:szCs w:val="24"/>
              </w:rPr>
              <w:t>A STATEMENT OF OPPOSITION WAS RECEIVED FROM BIKEMORE.</w:t>
            </w:r>
          </w:p>
        </w:tc>
        <w:tc>
          <w:tcPr>
            <w:tcW w:w="3841" w:type="dxa"/>
          </w:tcPr>
          <w:p w14:paraId="12F9AF3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D7D2EB3" w14:textId="77777777" w:rsidR="0048229B" w:rsidRDefault="0048229B"/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860"/>
        <w:gridCol w:w="1067"/>
        <w:gridCol w:w="7367"/>
        <w:gridCol w:w="923"/>
        <w:gridCol w:w="1181"/>
        <w:gridCol w:w="1737"/>
      </w:tblGrid>
      <w:tr w:rsidR="008B1317" w:rsidRPr="00C80AC4" w14:paraId="2A49391F" w14:textId="77777777" w:rsidTr="0048229B">
        <w:trPr>
          <w:trHeight w:val="317"/>
        </w:trPr>
        <w:tc>
          <w:tcPr>
            <w:tcW w:w="860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434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923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181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48229B">
        <w:trPr>
          <w:trHeight w:val="317"/>
        </w:trPr>
        <w:tc>
          <w:tcPr>
            <w:tcW w:w="860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367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48229B">
        <w:trPr>
          <w:trHeight w:val="317"/>
        </w:trPr>
        <w:tc>
          <w:tcPr>
            <w:tcW w:w="860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765039FD" w14:textId="0ACCA65E" w:rsidR="008B1317" w:rsidRPr="00C80AC4" w:rsidRDefault="0048229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298</w:t>
            </w:r>
          </w:p>
        </w:tc>
        <w:tc>
          <w:tcPr>
            <w:tcW w:w="7367" w:type="dxa"/>
          </w:tcPr>
          <w:p w14:paraId="7ECD9BD0" w14:textId="36553FB1" w:rsidR="008B1317" w:rsidRPr="00C80AC4" w:rsidRDefault="0048229B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SB-23-11546 - Dept. of Transportation – Minor Privilege Permit - Curbside Commercial Dining Schedule. </w:t>
            </w:r>
            <w:r>
              <w:rPr>
                <w:rFonts w:ascii="Arial" w:hAnsi="Arial" w:cs="Arial"/>
                <w:b/>
                <w:szCs w:val="24"/>
              </w:rPr>
              <w:t>A STATEMENT OF OPPOSITION WAS RECEIVED FROM BIKEMORE. TH</w:t>
            </w:r>
            <w:r w:rsidR="009B31E8">
              <w:rPr>
                <w:rFonts w:ascii="Arial" w:hAnsi="Arial" w:cs="Arial"/>
                <w:b/>
                <w:szCs w:val="24"/>
              </w:rPr>
              <w:t>E ORIGINAL SUBMISSION UNDER NO. 11546 HAS BEEN W</w:t>
            </w:r>
            <w:r>
              <w:rPr>
                <w:rFonts w:ascii="Arial" w:hAnsi="Arial" w:cs="Arial"/>
                <w:b/>
                <w:szCs w:val="24"/>
              </w:rPr>
              <w:t>ITHDRAWN.</w:t>
            </w:r>
          </w:p>
        </w:tc>
        <w:tc>
          <w:tcPr>
            <w:tcW w:w="923" w:type="dxa"/>
          </w:tcPr>
          <w:p w14:paraId="30DF72F9" w14:textId="5165F0D2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14:paraId="074A9067" w14:textId="4ED49622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292800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409F7ABC" w14:textId="77777777" w:rsidTr="0048229B">
        <w:trPr>
          <w:trHeight w:val="317"/>
        </w:trPr>
        <w:tc>
          <w:tcPr>
            <w:tcW w:w="860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7" w:type="dxa"/>
          </w:tcPr>
          <w:p w14:paraId="5DA1368A" w14:textId="0FF18498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67" w:type="dxa"/>
          </w:tcPr>
          <w:p w14:paraId="0CB6358F" w14:textId="0277B46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23" w:type="dxa"/>
          </w:tcPr>
          <w:p w14:paraId="4531783B" w14:textId="488EB9B9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81" w:type="dxa"/>
          </w:tcPr>
          <w:p w14:paraId="15DE3BA3" w14:textId="2677D21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5DC374B3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337"/>
        <w:gridCol w:w="1151"/>
        <w:gridCol w:w="7924"/>
        <w:gridCol w:w="1482"/>
        <w:gridCol w:w="1241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0EEF5EF5" w:rsidR="00555785" w:rsidRPr="00C80AC4" w:rsidRDefault="00134D58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129</w:t>
            </w: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26593E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23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26593E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724DECC8" w14:textId="475E729B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  <w:r w:rsidR="0026593E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239" w:type="dxa"/>
          </w:tcPr>
          <w:p w14:paraId="32819996" w14:textId="31B81458" w:rsidR="00555785" w:rsidRPr="00C80AC4" w:rsidRDefault="0026593E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SB-23-11781 - Dept. of Finance – Approval of Fiscal 2024 Targeted Homeowners Tax Credit Annual Rate</w:t>
            </w:r>
          </w:p>
        </w:tc>
        <w:tc>
          <w:tcPr>
            <w:tcW w:w="1482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34D58" w:rsidRPr="00C80AC4" w14:paraId="0F60BD1A" w14:textId="77777777" w:rsidTr="0026593E">
        <w:trPr>
          <w:trHeight w:val="268"/>
        </w:trPr>
        <w:tc>
          <w:tcPr>
            <w:tcW w:w="990" w:type="dxa"/>
            <w:vMerge/>
          </w:tcPr>
          <w:p w14:paraId="3C97B74F" w14:textId="77777777" w:rsidR="00134D58" w:rsidRPr="00C80AC4" w:rsidRDefault="00134D58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23601DAE" w14:textId="543DD24D" w:rsidR="00134D58" w:rsidRPr="00C80AC4" w:rsidRDefault="00134D58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</w:t>
            </w:r>
          </w:p>
        </w:tc>
        <w:tc>
          <w:tcPr>
            <w:tcW w:w="8239" w:type="dxa"/>
          </w:tcPr>
          <w:p w14:paraId="395F56BB" w14:textId="0A3449BC" w:rsidR="00134D58" w:rsidRDefault="00134D58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Sb-23-12062 – Dept. of Law Grant/Fiscal Sponsorship Agreements – Baltimore Main Streets via Baltimore Civic Fund for FY2023</w:t>
            </w:r>
          </w:p>
        </w:tc>
        <w:tc>
          <w:tcPr>
            <w:tcW w:w="1482" w:type="dxa"/>
          </w:tcPr>
          <w:p w14:paraId="198F1875" w14:textId="77777777" w:rsidR="00134D58" w:rsidRPr="00C80AC4" w:rsidRDefault="00134D58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1A9EFC9" w14:textId="77777777" w:rsidR="00134D58" w:rsidRPr="00C80AC4" w:rsidRDefault="00134D58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5D206CD8" w14:textId="77777777" w:rsidTr="0026593E">
        <w:trPr>
          <w:trHeight w:val="268"/>
        </w:trPr>
        <w:tc>
          <w:tcPr>
            <w:tcW w:w="990" w:type="dxa"/>
            <w:vMerge/>
          </w:tcPr>
          <w:p w14:paraId="4C179032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3F03AA1A" w14:textId="4359128F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</w:t>
            </w:r>
          </w:p>
        </w:tc>
        <w:tc>
          <w:tcPr>
            <w:tcW w:w="8239" w:type="dxa"/>
          </w:tcPr>
          <w:p w14:paraId="0AA17C6B" w14:textId="540659DB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SB-23-11880 – Law Dept. - Settlement Agreement and Release </w:t>
            </w:r>
          </w:p>
        </w:tc>
        <w:tc>
          <w:tcPr>
            <w:tcW w:w="1482" w:type="dxa"/>
          </w:tcPr>
          <w:p w14:paraId="702EC798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DAC114C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6ED1E26B" w14:textId="77777777" w:rsidTr="0026593E">
        <w:trPr>
          <w:trHeight w:val="268"/>
        </w:trPr>
        <w:tc>
          <w:tcPr>
            <w:tcW w:w="990" w:type="dxa"/>
            <w:vMerge/>
          </w:tcPr>
          <w:p w14:paraId="3FFC8B50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67944AB" w14:textId="0B99AD74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132-133</w:t>
            </w:r>
          </w:p>
        </w:tc>
        <w:tc>
          <w:tcPr>
            <w:tcW w:w="8239" w:type="dxa"/>
          </w:tcPr>
          <w:p w14:paraId="054C2E57" w14:textId="6C83BC02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SB-23-11723 – Law Dept.  - Settlement Agreement and Release </w:t>
            </w:r>
          </w:p>
        </w:tc>
        <w:tc>
          <w:tcPr>
            <w:tcW w:w="1482" w:type="dxa"/>
          </w:tcPr>
          <w:p w14:paraId="569A6764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C7D5279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39FEEE72" w14:textId="77777777" w:rsidTr="0026593E">
        <w:trPr>
          <w:trHeight w:val="268"/>
        </w:trPr>
        <w:tc>
          <w:tcPr>
            <w:tcW w:w="990" w:type="dxa"/>
            <w:vMerge/>
          </w:tcPr>
          <w:p w14:paraId="04E80375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3D95839" w14:textId="74889071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134-135</w:t>
            </w:r>
          </w:p>
        </w:tc>
        <w:tc>
          <w:tcPr>
            <w:tcW w:w="8239" w:type="dxa"/>
          </w:tcPr>
          <w:p w14:paraId="541A6FCD" w14:textId="6DEA58BA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SB-23-11836 – Law Dept. – Settlement Agreement and Release</w:t>
            </w:r>
          </w:p>
        </w:tc>
        <w:tc>
          <w:tcPr>
            <w:tcW w:w="1482" w:type="dxa"/>
          </w:tcPr>
          <w:p w14:paraId="153FF74C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51FEE0B2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2B9B08BC" w14:textId="77777777" w:rsidTr="0026593E">
        <w:trPr>
          <w:trHeight w:val="268"/>
        </w:trPr>
        <w:tc>
          <w:tcPr>
            <w:tcW w:w="990" w:type="dxa"/>
          </w:tcPr>
          <w:p w14:paraId="21F78D3D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30F22F0F" w14:textId="1D02B666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136-137</w:t>
            </w:r>
          </w:p>
        </w:tc>
        <w:tc>
          <w:tcPr>
            <w:tcW w:w="8239" w:type="dxa"/>
          </w:tcPr>
          <w:p w14:paraId="56041A61" w14:textId="3E9243AA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SB-23-11837 – Law Dept. – Settlement Agreement and Release </w:t>
            </w:r>
          </w:p>
        </w:tc>
        <w:tc>
          <w:tcPr>
            <w:tcW w:w="1482" w:type="dxa"/>
          </w:tcPr>
          <w:p w14:paraId="7674E376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D47191A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240EC79F" w14:textId="77777777" w:rsidTr="0026593E">
        <w:trPr>
          <w:trHeight w:val="268"/>
        </w:trPr>
        <w:tc>
          <w:tcPr>
            <w:tcW w:w="990" w:type="dxa"/>
          </w:tcPr>
          <w:p w14:paraId="7BD754E6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EE0FC96" w14:textId="7F6B2D2C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138</w:t>
            </w:r>
          </w:p>
        </w:tc>
        <w:tc>
          <w:tcPr>
            <w:tcW w:w="8239" w:type="dxa"/>
          </w:tcPr>
          <w:p w14:paraId="6846B1E0" w14:textId="782A758B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SB-23-11832 – Law Dept. – Settlement Agreement and Release</w:t>
            </w:r>
          </w:p>
        </w:tc>
        <w:tc>
          <w:tcPr>
            <w:tcW w:w="1482" w:type="dxa"/>
          </w:tcPr>
          <w:p w14:paraId="7B22BEBB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7EFBFC66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0184200A" w14:textId="77777777" w:rsidTr="0026593E">
        <w:trPr>
          <w:trHeight w:val="268"/>
        </w:trPr>
        <w:tc>
          <w:tcPr>
            <w:tcW w:w="990" w:type="dxa"/>
          </w:tcPr>
          <w:p w14:paraId="28E248D1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C105471" w14:textId="4AADA841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144</w:t>
            </w:r>
          </w:p>
        </w:tc>
        <w:tc>
          <w:tcPr>
            <w:tcW w:w="8239" w:type="dxa"/>
          </w:tcPr>
          <w:p w14:paraId="698436B5" w14:textId="2E901162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SB-23-11866 – BCIT – Emergency Procurement Report on Consultant Agreement for Workday Financial System Remediation Services</w:t>
            </w:r>
          </w:p>
        </w:tc>
        <w:tc>
          <w:tcPr>
            <w:tcW w:w="1482" w:type="dxa"/>
          </w:tcPr>
          <w:p w14:paraId="1033BEC9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C2AD041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966E3" w:rsidRPr="00C80AC4" w14:paraId="5F125748" w14:textId="77777777" w:rsidTr="0026593E">
        <w:trPr>
          <w:trHeight w:val="268"/>
        </w:trPr>
        <w:tc>
          <w:tcPr>
            <w:tcW w:w="990" w:type="dxa"/>
          </w:tcPr>
          <w:p w14:paraId="0A1BCAD7" w14:textId="77777777" w:rsidR="00D966E3" w:rsidRPr="00C80AC4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67414CC1" w14:textId="1AC4EDEB" w:rsidR="00D966E3" w:rsidRDefault="00A6002D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173</w:t>
            </w:r>
          </w:p>
        </w:tc>
        <w:tc>
          <w:tcPr>
            <w:tcW w:w="8239" w:type="dxa"/>
          </w:tcPr>
          <w:p w14:paraId="4F2A8039" w14:textId="731678D8" w:rsidR="00D966E3" w:rsidRDefault="00A6002D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SB-23-11603 – Dept. of Planning Memorandum of Understanding with Baltimore Urban Revitalization LLC.</w:t>
            </w:r>
          </w:p>
        </w:tc>
        <w:tc>
          <w:tcPr>
            <w:tcW w:w="1482" w:type="dxa"/>
          </w:tcPr>
          <w:p w14:paraId="2C85EB11" w14:textId="3A8FBF0A" w:rsidR="00D966E3" w:rsidRPr="00A6002D" w:rsidRDefault="00D966E3" w:rsidP="00A6002D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97B548" w14:textId="77777777" w:rsidR="00D966E3" w:rsidRPr="00C80AC4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966E3" w:rsidRPr="00C80AC4" w14:paraId="20E2885F" w14:textId="77777777" w:rsidTr="0026593E">
        <w:trPr>
          <w:trHeight w:val="268"/>
        </w:trPr>
        <w:tc>
          <w:tcPr>
            <w:tcW w:w="990" w:type="dxa"/>
          </w:tcPr>
          <w:p w14:paraId="6660D911" w14:textId="77777777" w:rsidR="00D966E3" w:rsidRPr="00C80AC4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2C745B63" w14:textId="1FA59FFE" w:rsidR="00D966E3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232-233</w:t>
            </w:r>
          </w:p>
        </w:tc>
        <w:tc>
          <w:tcPr>
            <w:tcW w:w="8239" w:type="dxa"/>
          </w:tcPr>
          <w:p w14:paraId="06E2A243" w14:textId="243B869C" w:rsidR="00D966E3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SB-23-10961 – Dept. of Public Works – Sanitary Contract No. 882 Change Order 9 11603</w:t>
            </w:r>
          </w:p>
        </w:tc>
        <w:tc>
          <w:tcPr>
            <w:tcW w:w="1482" w:type="dxa"/>
          </w:tcPr>
          <w:p w14:paraId="3F7787C8" w14:textId="77777777" w:rsidR="00D966E3" w:rsidRPr="00C80AC4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67A0DA45" w14:textId="77777777" w:rsidR="00D966E3" w:rsidRPr="00C80AC4" w:rsidRDefault="00D966E3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59B57931" w14:textId="77777777" w:rsidTr="0026593E">
        <w:trPr>
          <w:trHeight w:val="268"/>
        </w:trPr>
        <w:tc>
          <w:tcPr>
            <w:tcW w:w="990" w:type="dxa"/>
          </w:tcPr>
          <w:p w14:paraId="442EFC4A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9916F29" w14:textId="1DA9ABEC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260</w:t>
            </w:r>
          </w:p>
        </w:tc>
        <w:tc>
          <w:tcPr>
            <w:tcW w:w="8239" w:type="dxa"/>
          </w:tcPr>
          <w:p w14:paraId="3B62654A" w14:textId="4441F32D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SB-23-11994 – Dept. of Real Estate – Agreement of Sale 1321 Filbert Street, Block 7200, Lot 60A</w:t>
            </w:r>
          </w:p>
        </w:tc>
        <w:tc>
          <w:tcPr>
            <w:tcW w:w="1482" w:type="dxa"/>
          </w:tcPr>
          <w:p w14:paraId="48D4A937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16C7AF3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6593E" w:rsidRPr="00C80AC4" w14:paraId="0D5EC98C" w14:textId="77777777" w:rsidTr="0026593E">
        <w:trPr>
          <w:trHeight w:val="268"/>
        </w:trPr>
        <w:tc>
          <w:tcPr>
            <w:tcW w:w="990" w:type="dxa"/>
          </w:tcPr>
          <w:p w14:paraId="5259A0CD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37ABDC6" w14:textId="371A5D62" w:rsidR="0026593E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298</w:t>
            </w:r>
          </w:p>
        </w:tc>
        <w:tc>
          <w:tcPr>
            <w:tcW w:w="8239" w:type="dxa"/>
          </w:tcPr>
          <w:p w14:paraId="26CF44F3" w14:textId="5A5EC01F" w:rsidR="0026593E" w:rsidRPr="00A31D21" w:rsidRDefault="0026593E" w:rsidP="0026593E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SB-23-11546 - Dept. of Transportation – </w:t>
            </w:r>
            <w:r w:rsidR="00A31D21">
              <w:rPr>
                <w:rFonts w:ascii="Arial" w:hAnsi="Arial" w:cs="Arial"/>
                <w:szCs w:val="24"/>
              </w:rPr>
              <w:t xml:space="preserve">Minor Privilege Permit - </w:t>
            </w:r>
            <w:r>
              <w:rPr>
                <w:rFonts w:ascii="Arial" w:hAnsi="Arial" w:cs="Arial"/>
                <w:szCs w:val="24"/>
              </w:rPr>
              <w:t>Curbside Commercial Dining Schedule</w:t>
            </w:r>
            <w:r w:rsidR="00A31D21">
              <w:rPr>
                <w:rFonts w:ascii="Arial" w:hAnsi="Arial" w:cs="Arial"/>
                <w:szCs w:val="24"/>
              </w:rPr>
              <w:t xml:space="preserve">. </w:t>
            </w:r>
            <w:r w:rsidR="00A31D21">
              <w:rPr>
                <w:rFonts w:ascii="Arial" w:hAnsi="Arial" w:cs="Arial"/>
                <w:b/>
                <w:szCs w:val="24"/>
              </w:rPr>
              <w:t>A STATEMENT OF OPPOSITION WAS RECEIVED FROM BIKEMORE.</w:t>
            </w:r>
          </w:p>
        </w:tc>
        <w:tc>
          <w:tcPr>
            <w:tcW w:w="1482" w:type="dxa"/>
          </w:tcPr>
          <w:p w14:paraId="7894E6F4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36D2631" w14:textId="77777777" w:rsidR="0026593E" w:rsidRPr="00C80AC4" w:rsidRDefault="0026593E" w:rsidP="0026593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EB7468E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170"/>
        <w:gridCol w:w="823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735ACC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23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735ACC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19354681" w14:textId="1474293B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239" w:type="dxa"/>
          </w:tcPr>
          <w:p w14:paraId="2BDE864D" w14:textId="2239BA74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D26CCD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29C0E2C6" w14:textId="77777777" w:rsidR="008B1317" w:rsidRDefault="00A6002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  <w:p w14:paraId="14F9CD83" w14:textId="77777777" w:rsidR="00A6002D" w:rsidRDefault="00A6002D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450F5DA" w14:textId="50B965C5" w:rsidR="00A6002D" w:rsidRDefault="00A6002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  <w:p w14:paraId="2C15237E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424DFDF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  <w:p w14:paraId="60D8C854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BAAA7E6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42</w:t>
            </w:r>
          </w:p>
          <w:p w14:paraId="705E2E8A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8C71CE5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</w:t>
            </w:r>
          </w:p>
          <w:p w14:paraId="14069A68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2A0DB6DE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FA7E474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  <w:p w14:paraId="32067D71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C88B182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51</w:t>
            </w:r>
          </w:p>
          <w:p w14:paraId="05FE7A3C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59B9227B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151</w:t>
            </w:r>
          </w:p>
          <w:p w14:paraId="1B418239" w14:textId="77777777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16B5DD23" w14:textId="7F710294" w:rsidR="00E01D9F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0258EF">
              <w:rPr>
                <w:rFonts w:ascii="Arial" w:hAnsi="Arial" w:cs="Arial"/>
                <w:szCs w:val="24"/>
              </w:rPr>
              <w:t>70</w:t>
            </w:r>
          </w:p>
          <w:p w14:paraId="00FA9EAA" w14:textId="5A558F30" w:rsidR="00E01D9F" w:rsidRPr="00D26CCD" w:rsidRDefault="00E01D9F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171 </w:t>
            </w:r>
          </w:p>
        </w:tc>
        <w:tc>
          <w:tcPr>
            <w:tcW w:w="6930" w:type="dxa"/>
          </w:tcPr>
          <w:p w14:paraId="1F95F27C" w14:textId="5BA6A6A1" w:rsidR="00EA2A37" w:rsidRDefault="00A6002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SB-23-11977 – Charles Village Community Benefits District Fiscal 2024 Budget and Property/Tax Public Utilities Surcharge</w:t>
            </w:r>
          </w:p>
          <w:p w14:paraId="19DCAB45" w14:textId="2280A743" w:rsidR="00A6002D" w:rsidRDefault="00A6002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SB-23-11315 – Health Dept. </w:t>
            </w:r>
            <w:r w:rsidR="00E01D9F">
              <w:rPr>
                <w:rFonts w:ascii="Arial" w:hAnsi="Arial" w:cs="Arial"/>
                <w:szCs w:val="24"/>
              </w:rPr>
              <w:t>John Hopkins University Reach Initiative</w:t>
            </w:r>
          </w:p>
          <w:p w14:paraId="72AF6EE2" w14:textId="225DA6EA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SB-23-10999 – Health Dept. Ratification Agreement with Johns Hopkins University</w:t>
            </w:r>
          </w:p>
          <w:p w14:paraId="10B07567" w14:textId="41FD5C8D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SB-23-11772 – Agreement with Johns Hopkins University School of Medical Case Management</w:t>
            </w:r>
          </w:p>
          <w:p w14:paraId="0C4229BD" w14:textId="18C16F6E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SB-23-11619 – Health Dept. Ratification Johns Hopkins University-Bartlett Specialty Practice Ryan White State Special-Health Education Risk/Reduction. </w:t>
            </w:r>
          </w:p>
          <w:p w14:paraId="0BF555E3" w14:textId="77777777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SB-23-11620 – Johns Hopkins University – Bartlett Specialty Practice Ryan White State Special.</w:t>
            </w:r>
          </w:p>
          <w:p w14:paraId="7588E8FD" w14:textId="77777777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SB-23-11189 – Grant Agreement with East Baltimore Development Inc. FY23 Operating Support.</w:t>
            </w:r>
          </w:p>
          <w:p w14:paraId="36960177" w14:textId="77777777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SB-23-11697 – MONSE Johns Hopkins HVIP ARPA Contract with Johns Hopkins Hospital, Inc.</w:t>
            </w:r>
          </w:p>
          <w:p w14:paraId="49BDB89C" w14:textId="77777777" w:rsidR="00E01D9F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SB-23- 12052 – Travel Request  </w:t>
            </w:r>
          </w:p>
          <w:p w14:paraId="3FFEDE17" w14:textId="54C3958C" w:rsidR="00E01D9F" w:rsidRPr="00D26CCD" w:rsidRDefault="00E01D9F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SB-23-120</w:t>
            </w:r>
            <w:r w:rsidR="000258EF">
              <w:rPr>
                <w:rFonts w:ascii="Arial" w:hAnsi="Arial" w:cs="Arial"/>
                <w:szCs w:val="24"/>
              </w:rPr>
              <w:t>60</w:t>
            </w:r>
            <w:r>
              <w:rPr>
                <w:rFonts w:ascii="Arial" w:hAnsi="Arial" w:cs="Arial"/>
                <w:szCs w:val="24"/>
              </w:rPr>
              <w:t xml:space="preserve"> – Travel Request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29C1B7D8" w:rsidR="00EA2A37" w:rsidRPr="00D26CCD" w:rsidRDefault="002653B6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5D6759AB" w:rsidR="00EA2A37" w:rsidRPr="00C73084" w:rsidRDefault="00CC00FB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</w:t>
            </w:r>
            <w:bookmarkStart w:id="0" w:name="_GoBack"/>
            <w:bookmarkEnd w:id="0"/>
            <w:r w:rsidR="0076724E" w:rsidRPr="00C73084">
              <w:rPr>
                <w:rFonts w:ascii="Arial" w:hAnsi="Arial" w:cs="Arial"/>
                <w:b/>
                <w:szCs w:val="24"/>
              </w:rPr>
              <w:t>ead memo with abstentions.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59797F80" w:rsidR="008B1317" w:rsidRPr="00D26CCD" w:rsidRDefault="00134D5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</w:t>
            </w:r>
          </w:p>
        </w:tc>
        <w:tc>
          <w:tcPr>
            <w:tcW w:w="6930" w:type="dxa"/>
          </w:tcPr>
          <w:p w14:paraId="449738BE" w14:textId="696E01A5" w:rsidR="008B1317" w:rsidRPr="00D26CCD" w:rsidRDefault="00134D5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SB-23-11838 – Dept. of Law Third Party Funded Travel Request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D26CCD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3D42367" w14:textId="26770AB1" w:rsidR="00C80AC4" w:rsidRPr="00D26CCD" w:rsidRDefault="0076724E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There are no abstentions. </w:t>
            </w:r>
          </w:p>
        </w:tc>
      </w:tr>
      <w:tr w:rsidR="00C80AC4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3DD0AF0C" w:rsidR="00495A00" w:rsidRPr="00D26CCD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2070"/>
        <w:gridCol w:w="1350"/>
        <w:gridCol w:w="88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37E5F7A5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C36BFE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C36BFE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</w:tcPr>
          <w:p w14:paraId="0E74A576" w14:textId="491FC7B8" w:rsidR="00EA2A37" w:rsidRPr="00D26CCD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350" w:type="dxa"/>
          </w:tcPr>
          <w:p w14:paraId="2C913321" w14:textId="77777777" w:rsidR="00EA2A37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146</w:t>
            </w:r>
          </w:p>
          <w:p w14:paraId="0A49BD49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149</w:t>
            </w:r>
          </w:p>
          <w:p w14:paraId="5FC1ED7C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</w:t>
            </w:r>
          </w:p>
          <w:p w14:paraId="3EBB8671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154</w:t>
            </w:r>
          </w:p>
          <w:p w14:paraId="42F0349E" w14:textId="02F96882" w:rsidR="00C36BFE" w:rsidRPr="00D26CCD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157</w:t>
            </w:r>
          </w:p>
        </w:tc>
        <w:tc>
          <w:tcPr>
            <w:tcW w:w="8820" w:type="dxa"/>
          </w:tcPr>
          <w:p w14:paraId="2CCDD1A5" w14:textId="77777777" w:rsidR="00EA2A37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SB-23-11869 – MONSE – Grant Expenditure – Grant Agreement</w:t>
            </w:r>
          </w:p>
          <w:p w14:paraId="10304F12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SB-23-11757 – MONSE – Grant Expenditure – Grant Agreement</w:t>
            </w:r>
          </w:p>
          <w:p w14:paraId="2FA68D3E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SB-23-11952 – MONSE – Grant Expenditure – Grant Agreement</w:t>
            </w:r>
          </w:p>
          <w:p w14:paraId="6ECE1067" w14:textId="77777777" w:rsidR="00C36BFE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SB-23-11760 – MONSE – Grant Expenditure – Grant Agreement</w:t>
            </w:r>
          </w:p>
          <w:p w14:paraId="141F5FB4" w14:textId="550DAC66" w:rsidR="00C36BFE" w:rsidRPr="00D26CCD" w:rsidRDefault="00C36BFE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Sb-23-11697 – MONSE – Grant Expenditure – Grant Agreement</w:t>
            </w:r>
          </w:p>
        </w:tc>
      </w:tr>
      <w:tr w:rsidR="00EA2A37" w:rsidRPr="00D26CCD" w14:paraId="723B796A" w14:textId="77777777" w:rsidTr="00C36BFE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820" w:type="dxa"/>
          </w:tcPr>
          <w:p w14:paraId="737ED7A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C36BFE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82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E8AA" w14:textId="77777777" w:rsidR="002C01D8" w:rsidRDefault="002C01D8" w:rsidP="00A53D00">
      <w:r>
        <w:separator/>
      </w:r>
    </w:p>
  </w:endnote>
  <w:endnote w:type="continuationSeparator" w:id="0">
    <w:p w14:paraId="60EEDD92" w14:textId="77777777" w:rsidR="002C01D8" w:rsidRDefault="002C01D8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B97B" w14:textId="77777777" w:rsidR="002C01D8" w:rsidRDefault="002C01D8" w:rsidP="00A53D00">
      <w:r>
        <w:separator/>
      </w:r>
    </w:p>
  </w:footnote>
  <w:footnote w:type="continuationSeparator" w:id="0">
    <w:p w14:paraId="1EE689A6" w14:textId="77777777" w:rsidR="002C01D8" w:rsidRDefault="002C01D8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179D"/>
    <w:multiLevelType w:val="hybridMultilevel"/>
    <w:tmpl w:val="2CF06294"/>
    <w:lvl w:ilvl="0" w:tplc="0858967A">
      <w:start w:val="23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258EF"/>
    <w:rsid w:val="00062EF9"/>
    <w:rsid w:val="00103084"/>
    <w:rsid w:val="00134D58"/>
    <w:rsid w:val="001A34D6"/>
    <w:rsid w:val="002653B6"/>
    <w:rsid w:val="0026593E"/>
    <w:rsid w:val="002B7E46"/>
    <w:rsid w:val="002C01D8"/>
    <w:rsid w:val="002E36EA"/>
    <w:rsid w:val="002E3A79"/>
    <w:rsid w:val="003477E2"/>
    <w:rsid w:val="00455791"/>
    <w:rsid w:val="0048229B"/>
    <w:rsid w:val="00495A00"/>
    <w:rsid w:val="00555785"/>
    <w:rsid w:val="005A0D8D"/>
    <w:rsid w:val="005B151D"/>
    <w:rsid w:val="006D499E"/>
    <w:rsid w:val="00716403"/>
    <w:rsid w:val="00735ACC"/>
    <w:rsid w:val="00766719"/>
    <w:rsid w:val="0076724E"/>
    <w:rsid w:val="008221B2"/>
    <w:rsid w:val="00875740"/>
    <w:rsid w:val="008B1317"/>
    <w:rsid w:val="008C7D85"/>
    <w:rsid w:val="00924B81"/>
    <w:rsid w:val="00952C7D"/>
    <w:rsid w:val="00983110"/>
    <w:rsid w:val="009B31E8"/>
    <w:rsid w:val="00A31D21"/>
    <w:rsid w:val="00A53D00"/>
    <w:rsid w:val="00A6002D"/>
    <w:rsid w:val="00A62E80"/>
    <w:rsid w:val="00A7360D"/>
    <w:rsid w:val="00AC2575"/>
    <w:rsid w:val="00B22D12"/>
    <w:rsid w:val="00B62B31"/>
    <w:rsid w:val="00B76326"/>
    <w:rsid w:val="00B83528"/>
    <w:rsid w:val="00B95B1C"/>
    <w:rsid w:val="00C040E0"/>
    <w:rsid w:val="00C14638"/>
    <w:rsid w:val="00C36BFE"/>
    <w:rsid w:val="00C73084"/>
    <w:rsid w:val="00C80AC4"/>
    <w:rsid w:val="00CC00FB"/>
    <w:rsid w:val="00D26CCD"/>
    <w:rsid w:val="00D641D1"/>
    <w:rsid w:val="00D909A1"/>
    <w:rsid w:val="00D966E3"/>
    <w:rsid w:val="00DC2698"/>
    <w:rsid w:val="00DD2B79"/>
    <w:rsid w:val="00DE334F"/>
    <w:rsid w:val="00E01D9F"/>
    <w:rsid w:val="00E33D7C"/>
    <w:rsid w:val="00E97551"/>
    <w:rsid w:val="00EA2A37"/>
    <w:rsid w:val="00F248E2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5983808-33c6-40d7-b740-881628301918"/>
    <ds:schemaRef ds:uri="bd958d24-aa26-4702-9457-8b3c02f307ab"/>
  </ds:schemaRefs>
</ds:datastoreItem>
</file>

<file path=customXml/itemProps3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Shannon, Geoff (Comptroller)</cp:lastModifiedBy>
  <cp:revision>12</cp:revision>
  <cp:lastPrinted>2023-06-07T12:43:00Z</cp:lastPrinted>
  <dcterms:created xsi:type="dcterms:W3CDTF">2023-06-05T21:27:00Z</dcterms:created>
  <dcterms:modified xsi:type="dcterms:W3CDTF">2023-06-07T15:24:00Z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